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4459" w:type="dxa"/>
        <w:tblInd w:w="108" w:type="dxa"/>
        <w:shd w:val="clear" w:color="auto" w:fill="FFFF00"/>
        <w:tblLook w:val="04A0" w:firstRow="1" w:lastRow="0" w:firstColumn="1" w:lastColumn="0" w:noHBand="0" w:noVBand="1"/>
      </w:tblPr>
      <w:tblGrid>
        <w:gridCol w:w="14459"/>
      </w:tblGrid>
      <w:tr w:rsidR="000D43C9" w:rsidRPr="000D43C9" w:rsidTr="00872BE2">
        <w:tc>
          <w:tcPr>
            <w:tcW w:w="14459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${BLOCKSTART:</w:t>
            </w:r>
            <w:r w:rsidR="00872BE2">
              <w:rPr>
                <w:rFonts w:ascii="Arial" w:hAnsi="Arial" w:cs="FreeSans"/>
                <w:color w:val="00000A"/>
                <w:sz w:val="20"/>
                <w:szCs w:val="20"/>
              </w:rPr>
              <w:t>E</w:t>
            </w:r>
            <w:r w:rsidR="0071478F">
              <w:rPr>
                <w:rFonts w:ascii="Arial" w:hAnsi="Arial" w:cs="FreeSans"/>
                <w:color w:val="00000A"/>
                <w:sz w:val="20"/>
                <w:szCs w:val="20"/>
              </w:rPr>
              <w:t>SP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5156CC" w:rsidRDefault="000D43C9" w:rsidP="00EE10FE">
      <w:pPr>
        <w:widowControl w:val="0"/>
        <w:suppressAutoHyphens/>
        <w:spacing w:before="0" w:after="0" w:line="288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 w:rsidRPr="00A61F5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2"/>
        <w:tblW w:w="14445" w:type="dxa"/>
        <w:tblInd w:w="122" w:type="dxa"/>
        <w:tblLayout w:type="fixed"/>
        <w:tblLook w:val="04A0" w:firstRow="1" w:lastRow="0" w:firstColumn="1" w:lastColumn="0" w:noHBand="0" w:noVBand="1"/>
      </w:tblPr>
      <w:tblGrid>
        <w:gridCol w:w="593"/>
        <w:gridCol w:w="310"/>
        <w:gridCol w:w="382"/>
        <w:gridCol w:w="1134"/>
        <w:gridCol w:w="1536"/>
        <w:gridCol w:w="1311"/>
        <w:gridCol w:w="1311"/>
        <w:gridCol w:w="1311"/>
        <w:gridCol w:w="1312"/>
        <w:gridCol w:w="1311"/>
        <w:gridCol w:w="1311"/>
        <w:gridCol w:w="1311"/>
        <w:gridCol w:w="1312"/>
      </w:tblGrid>
      <w:tr w:rsidR="008922DF" w:rsidRPr="008922DF" w:rsidTr="00872BE2">
        <w:trPr>
          <w:tblHeader/>
        </w:trPr>
        <w:tc>
          <w:tcPr>
            <w:tcW w:w="14445" w:type="dxa"/>
            <w:gridSpan w:val="13"/>
            <w:shd w:val="clear" w:color="auto" w:fill="F2F2F2" w:themeFill="background1" w:themeFillShade="F2"/>
          </w:tcPr>
          <w:p w:rsidR="008922DF" w:rsidRPr="008922DF" w:rsidRDefault="008922DF" w:rsidP="008922D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</w:t>
            </w:r>
            <w:r w:rsidR="00872BE2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E</w:t>
            </w:r>
            <w:r w:rsidR="0071478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;</w:t>
            </w:r>
            <w:r w:rsidR="002A0FE9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!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NN;</w:t>
            </w:r>
            <w:r w:rsidR="007B1791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!</w:t>
            </w: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0B04E9" w:rsidRPr="008922D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0B04E9" w:rsidRPr="008922DF" w:rsidRDefault="000B04E9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8922D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0B04E9" w:rsidRPr="008922DF" w:rsidRDefault="000B04E9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ZEIBEZ?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0B04E9" w:rsidRPr="008922DF" w:rsidRDefault="000B04E9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$$ESP_N?$$??"1.4"?"Gesamtjahresergebnis ohne anderen Gesellschaftern zuzurechnendes Ergebnis":$$ESP_B?$$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SP1?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377E8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SVJ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2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377E8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GV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377E8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377E8F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377E8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RUE</w:t>
            </w:r>
            <w:r w:rsidR="00377E8F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3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$$ESP_J_01_JE?$$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4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270912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5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KAK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KAM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6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AEK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3F436F" w:rsidRPr="003F436F" w:rsidTr="00D8178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7</w:t>
            </w: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3F436F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SON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KAP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EAN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 xml:space="preserve"> + 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$$ESP_J_01_</w:t>
            </w:r>
            <w:r w:rsidR="009E78C1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AUS</w:t>
            </w:r>
            <w:r w:rsidR="009E78C1"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?$$</w:t>
            </w:r>
          </w:p>
        </w:tc>
      </w:tr>
      <w:tr w:rsidR="002C4F94" w:rsidRPr="003F436F" w:rsidTr="007B1791">
        <w:trPr>
          <w:tblHeader/>
        </w:trPr>
        <w:tc>
          <w:tcPr>
            <w:tcW w:w="1285" w:type="dxa"/>
            <w:gridSpan w:val="3"/>
            <w:shd w:val="clear" w:color="auto" w:fill="F2F2F2" w:themeFill="background1" w:themeFillShade="F2"/>
          </w:tcPr>
          <w:p w:rsidR="002C4F94" w:rsidRPr="003F436F" w:rsidRDefault="002C4F94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2C4F94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SP</w:t>
            </w:r>
            <w:r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8</w:t>
            </w:r>
            <w:r w:rsidR="00130688" w:rsidRPr="003F436F"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  <w:t>?</w:t>
            </w:r>
          </w:p>
        </w:tc>
        <w:tc>
          <w:tcPr>
            <w:tcW w:w="12026" w:type="dxa"/>
            <w:gridSpan w:val="9"/>
            <w:shd w:val="clear" w:color="auto" w:fill="F2F2F2" w:themeFill="background1" w:themeFillShade="F2"/>
          </w:tcPr>
          <w:p w:rsidR="002C4F94" w:rsidRPr="003F436F" w:rsidRDefault="003F436F" w:rsidP="00D81781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sz w:val="20"/>
                <w:szCs w:val="20"/>
                <w:lang w:eastAsia="zh-CN" w:bidi="hi-IN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$$</w:t>
            </w:r>
            <w:r w:rsidR="000C14CE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BI</w:t>
            </w:r>
            <w:r w:rsidR="000A5686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P</w:t>
            </w:r>
            <w:r w:rsidRPr="003F436F">
              <w:rPr>
                <w:rFonts w:ascii="Arial" w:eastAsia="Calibri" w:hAnsi="Arial" w:cs="Arial"/>
                <w:bCs/>
                <w:color w:val="000000"/>
                <w:sz w:val="20"/>
                <w:szCs w:val="20"/>
              </w:rPr>
              <w:t>_J_01?$$</w:t>
            </w:r>
          </w:p>
        </w:tc>
      </w:tr>
      <w:tr w:rsidR="00CE3780" w:rsidRPr="005156CC" w:rsidTr="007B1791">
        <w:trPr>
          <w:cantSplit/>
          <w:tblHeader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3780" w:rsidRPr="005156CC" w:rsidRDefault="00CE3780" w:rsidP="005156CC">
            <w:pPr>
              <w:widowControl w:val="0"/>
              <w:suppressAutoHyphens/>
              <w:spacing w:before="60" w:after="60" w:line="240" w:lineRule="auto"/>
              <w:ind w:left="0" w:right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1385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780" w:rsidRPr="005156CC" w:rsidRDefault="00872BE2" w:rsidP="005156CC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Eigenkapitalspiegel für das Jahr </w:t>
            </w:r>
            <w:r w:rsidR="00CE3780" w:rsidRPr="005156CC">
              <w:rPr>
                <w:rFonts w:ascii="Arial" w:eastAsia="Calibri" w:hAnsi="Arial" w:cs="Arial"/>
                <w:b/>
                <w:sz w:val="20"/>
                <w:szCs w:val="20"/>
              </w:rPr>
              <w:t>$$J$$</w:t>
            </w:r>
          </w:p>
        </w:tc>
      </w:tr>
      <w:tr w:rsidR="007B1791" w:rsidRPr="008922DF" w:rsidTr="00210549">
        <w:trPr>
          <w:cantSplit/>
          <w:trHeight w:val="525"/>
          <w:tblHeader/>
        </w:trPr>
        <w:tc>
          <w:tcPr>
            <w:tcW w:w="593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b/>
                <w:sz w:val="14"/>
                <w:szCs w:val="14"/>
              </w:rPr>
            </w:pPr>
          </w:p>
        </w:tc>
        <w:tc>
          <w:tcPr>
            <w:tcW w:w="33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Bezeichnung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Wert zum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Verrechnung des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Vorjahres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ergebnisses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Gesamt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jahres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t>-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ergebnis im Haushaltsjahr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Verrechnung der allgemeinen Rücklage nach §44 Abs.3 KomHVO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Kapital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erhöhung der Minderheits</w:t>
            </w:r>
            <w:r w:rsid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gesellschafter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Änderungen im Konsolidier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ungskreis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>sonstige Veränder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softHyphen/>
              <w:t>ungen im Eigenkapital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B1791" w:rsidRPr="003F436F" w:rsidRDefault="007B1791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t xml:space="preserve">Wert zum </w:t>
            </w:r>
            <w:r w:rsidRPr="003F436F">
              <w:rPr>
                <w:rFonts w:ascii="Arial" w:eastAsia="Calibri" w:hAnsi="Arial" w:cs="Arial"/>
                <w:b/>
                <w:sz w:val="16"/>
                <w:szCs w:val="16"/>
              </w:rPr>
              <w:br/>
              <w:t>31.12. des Haushaltsjahres</w:t>
            </w:r>
          </w:p>
        </w:tc>
      </w:tr>
      <w:tr w:rsidR="007B1791" w:rsidRPr="008922DF" w:rsidTr="00210549">
        <w:trPr>
          <w:cantSplit/>
          <w:tblHeader/>
        </w:trPr>
        <w:tc>
          <w:tcPr>
            <w:tcW w:w="593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336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1" w:rsidRPr="008922DF" w:rsidRDefault="007B1791" w:rsidP="006427B4">
            <w:pPr>
              <w:widowControl w:val="0"/>
              <w:suppressAutoHyphens/>
              <w:spacing w:before="0" w:after="0" w:line="240" w:lineRule="auto"/>
              <w:ind w:left="0" w:right="0"/>
              <w:jc w:val="center"/>
              <w:rPr>
                <w:rFonts w:ascii="Arial" w:eastAsia="Calibri" w:hAnsi="Arial" w:cs="Arial"/>
                <w:sz w:val="14"/>
                <w:szCs w:val="14"/>
              </w:rPr>
            </w:pP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B1791" w:rsidRPr="008922DF" w:rsidRDefault="007B1791" w:rsidP="006427B4">
            <w:pPr>
              <w:widowControl w:val="0"/>
              <w:suppressAutoHyphens/>
              <w:spacing w:before="20" w:after="20" w:line="240" w:lineRule="auto"/>
              <w:ind w:left="0" w:right="0"/>
              <w:jc w:val="center"/>
              <w:rPr>
                <w:rFonts w:ascii="Arial" w:eastAsia="Calibri" w:hAnsi="Arial" w:cs="Arial"/>
                <w:sz w:val="15"/>
                <w:szCs w:val="15"/>
              </w:rPr>
            </w:pPr>
            <w:r w:rsidRPr="008922DF">
              <w:rPr>
                <w:rFonts w:ascii="Arial" w:eastAsia="Calibri" w:hAnsi="Arial" w:cs="Arial"/>
                <w:sz w:val="15"/>
                <w:szCs w:val="15"/>
              </w:rPr>
              <w:t>EUR</w:t>
            </w:r>
          </w:p>
        </w:tc>
      </w:tr>
      <w:tr w:rsidR="000B04E9" w:rsidRPr="008922DF" w:rsidTr="004B1368">
        <w:trPr>
          <w:cantSplit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0B04E9" w:rsidRPr="008922DF" w:rsidRDefault="000B04E9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0B04E9" w:rsidRPr="008922DF" w:rsidRDefault="000B04E9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5"/>
                <w:szCs w:val="15"/>
                <w:lang w:eastAsia="zh-CN" w:bidi="hi-IN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57" w:type="dxa"/>
            </w:tcMar>
          </w:tcPr>
          <w:p w:rsidR="000B04E9" w:rsidRPr="008922DF" w:rsidRDefault="000B04E9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5"/>
                <w:szCs w:val="15"/>
              </w:rPr>
            </w:pPr>
          </w:p>
        </w:tc>
      </w:tr>
      <w:tr w:rsidR="006427B4" w:rsidRPr="003F436F" w:rsidTr="009150A4">
        <w:trPr>
          <w:cantSplit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$${G:2}$$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</w:tcPr>
          <w:p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$$</w:t>
            </w:r>
            <w:r w:rsidR="00184EE0"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ESP_N</w:t>
            </w:r>
            <w:r w:rsidRPr="003F436F"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  <w:t>?$$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6427B4" w:rsidRPr="003F436F" w:rsidRDefault="006427B4" w:rsidP="006427B4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hAnsi="Arial" w:cs="Arial"/>
                <w:bCs/>
                <w:sz w:val="16"/>
                <w:szCs w:val="16"/>
              </w:rPr>
              <w:t>$$</w:t>
            </w:r>
            <w:r w:rsidR="00377B8B" w:rsidRPr="003F436F">
              <w:rPr>
                <w:rFonts w:ascii="Arial" w:hAnsi="Arial" w:cs="Arial"/>
                <w:bCs/>
                <w:sz w:val="16"/>
                <w:szCs w:val="16"/>
              </w:rPr>
              <w:t>ZEIBEZ</w:t>
            </w:r>
            <w:r w:rsidRPr="003F436F">
              <w:rPr>
                <w:rFonts w:ascii="Arial" w:hAnsi="Arial" w:cs="Arial"/>
                <w:bCs/>
                <w:sz w:val="16"/>
                <w:szCs w:val="16"/>
              </w:rPr>
              <w:t>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6427B4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 w:rsid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SP1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SP2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SP3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SP4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SP5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SP6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SP7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6427B4" w:rsidRPr="003F436F" w:rsidRDefault="003F436F" w:rsidP="006427B4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$$</w:t>
            </w:r>
            <w:r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SP8</w:t>
            </w:r>
            <w:r w:rsidRPr="003F436F">
              <w:rPr>
                <w:rFonts w:ascii="Arial" w:eastAsia="Calibri" w:hAnsi="Arial" w:cs="Arial"/>
                <w:bCs/>
                <w:color w:val="000000"/>
                <w:sz w:val="16"/>
                <w:szCs w:val="16"/>
              </w:rPr>
              <w:t>?$$</w:t>
            </w:r>
          </w:p>
        </w:tc>
      </w:tr>
      <w:tr w:rsidR="003F436F" w:rsidRPr="003F436F" w:rsidTr="009150A4">
        <w:trPr>
          <w:cantSplit/>
        </w:trPr>
        <w:tc>
          <w:tcPr>
            <w:tcW w:w="593" w:type="dxa"/>
            <w:tcBorders>
              <w:right w:val="single" w:sz="4" w:space="0" w:color="auto"/>
            </w:tcBorders>
            <w:shd w:val="clear" w:color="auto" w:fill="F2F2F2" w:themeFill="background1" w:themeFillShade="F2"/>
            <w:tcMar>
              <w:left w:w="28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$${G:1:F}$$</w:t>
            </w:r>
          </w:p>
        </w:tc>
        <w:tc>
          <w:tcPr>
            <w:tcW w:w="33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</w:tcPr>
          <w:p w:rsidR="003F436F" w:rsidRPr="003F436F" w:rsidRDefault="003F436F" w:rsidP="003F436F">
            <w:pPr>
              <w:widowControl w:val="0"/>
              <w:suppressLineNumbers/>
              <w:suppressAutoHyphens/>
              <w:spacing w:before="60" w:after="60" w:line="240" w:lineRule="auto"/>
              <w:ind w:left="0" w:right="0"/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</w:pPr>
            <w:r w:rsidRPr="003F436F">
              <w:rPr>
                <w:rFonts w:ascii="Arial" w:eastAsia="Droid Sans Fallback" w:hAnsi="Arial" w:cs="Arial"/>
                <w:b/>
                <w:bCs/>
                <w:sz w:val="16"/>
                <w:szCs w:val="16"/>
                <w:lang w:eastAsia="zh-CN" w:bidi="hi-IN"/>
              </w:rPr>
              <w:t>Gesamteigenkapital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$$SP1?$$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$$SP2?$$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$$SP3?$$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$$SP4?$$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$$SP5?$$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$$SP6?$$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$$SP7?$$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6" w:type="dxa"/>
              <w:right w:w="28" w:type="dxa"/>
            </w:tcMar>
          </w:tcPr>
          <w:p w:rsidR="003F436F" w:rsidRPr="003F436F" w:rsidRDefault="003F436F" w:rsidP="003F436F">
            <w:pPr>
              <w:widowControl w:val="0"/>
              <w:suppressAutoHyphens/>
              <w:spacing w:before="60" w:after="60" w:line="240" w:lineRule="auto"/>
              <w:ind w:left="0" w:right="0"/>
              <w:jc w:val="right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3F436F">
              <w:rPr>
                <w:rFonts w:ascii="Arial" w:eastAsia="Calibri" w:hAnsi="Arial" w:cs="Arial"/>
                <w:b/>
                <w:bCs/>
                <w:color w:val="000000"/>
                <w:sz w:val="16"/>
                <w:szCs w:val="16"/>
              </w:rPr>
              <w:t>$$SP8?$$</w:t>
            </w:r>
          </w:p>
        </w:tc>
      </w:tr>
    </w:tbl>
    <w:p w:rsidR="000D43C9" w:rsidRDefault="000D43C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p w:rsidR="000E4E59" w:rsidRPr="000E4E59" w:rsidRDefault="000E4E59" w:rsidP="000D43C9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4445" w:type="dxa"/>
        <w:tblInd w:w="122" w:type="dxa"/>
        <w:shd w:val="clear" w:color="auto" w:fill="FFFF00"/>
        <w:tblLook w:val="04A0" w:firstRow="1" w:lastRow="0" w:firstColumn="1" w:lastColumn="0" w:noHBand="0" w:noVBand="1"/>
      </w:tblPr>
      <w:tblGrid>
        <w:gridCol w:w="14445"/>
      </w:tblGrid>
      <w:tr w:rsidR="000D43C9" w:rsidRPr="000D43C9" w:rsidTr="00872BE2">
        <w:tc>
          <w:tcPr>
            <w:tcW w:w="14445" w:type="dxa"/>
            <w:shd w:val="clear" w:color="auto" w:fill="FFFF00"/>
          </w:tcPr>
          <w:p w:rsidR="000D43C9" w:rsidRPr="000D43C9" w:rsidRDefault="00A61F52" w:rsidP="008922D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${BLOCK</w:t>
            </w:r>
            <w:r w:rsidR="000D43C9"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EE10FE" w:rsidRDefault="00EE10FE" w:rsidP="007C42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7C42A3" w:rsidRPr="00A61F52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872BE2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E</w:t>
      </w:r>
      <w:r w:rsidR="0071478F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SP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7C42A3" w:rsidRPr="00A61F52" w:rsidSect="006A58BA">
      <w:headerReference w:type="default" r:id="rId6"/>
      <w:footerReference w:type="default" r:id="rId7"/>
      <w:pgSz w:w="16838" w:h="11906" w:orient="landscape"/>
      <w:pgMar w:top="851" w:right="567" w:bottom="851" w:left="1134" w:header="709" w:footer="709" w:gutter="0"/>
      <w:cols w:space="708"/>
      <w:docGrid w:linePitch="5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01F" w:rsidRDefault="00CA601F" w:rsidP="000D43C9">
      <w:pPr>
        <w:spacing w:before="0" w:after="0" w:line="240" w:lineRule="auto"/>
      </w:pPr>
      <w:r>
        <w:separator/>
      </w:r>
    </w:p>
  </w:endnote>
  <w:endnote w:type="continuationSeparator" w:id="0">
    <w:p w:rsidR="00CA601F" w:rsidRDefault="00CA601F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01F" w:rsidRDefault="00CA601F" w:rsidP="000D43C9">
      <w:pPr>
        <w:spacing w:before="0" w:after="0" w:line="240" w:lineRule="auto"/>
      </w:pPr>
      <w:r>
        <w:separator/>
      </w:r>
    </w:p>
  </w:footnote>
  <w:footnote w:type="continuationSeparator" w:id="0">
    <w:p w:rsidR="00CA601F" w:rsidRDefault="00CA601F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459"/>
    </w:tblGrid>
    <w:tr w:rsidR="000D43C9" w:rsidRPr="001A27C1" w:rsidTr="006D56E3">
      <w:tc>
        <w:tcPr>
          <w:tcW w:w="14459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6D56E3">
      <w:tc>
        <w:tcPr>
          <w:tcW w:w="14459" w:type="dxa"/>
        </w:tcPr>
        <w:p w:rsidR="000D43C9" w:rsidRPr="001A27C1" w:rsidRDefault="006D56E3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für das Jahr </w:t>
          </w:r>
          <w:r w:rsidR="00A61F52">
            <w:rPr>
              <w:rFonts w:ascii="Arial" w:hAnsi="Arial" w:cs="Arial"/>
              <w:b/>
              <w:sz w:val="20"/>
              <w:szCs w:val="20"/>
            </w:rPr>
            <w:t>&lt;$J$&gt;</w:t>
          </w:r>
        </w:p>
      </w:tc>
    </w:tr>
    <w:tr w:rsidR="000D43C9" w:rsidRPr="001A27C1" w:rsidTr="006D56E3">
      <w:tc>
        <w:tcPr>
          <w:tcW w:w="14459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618AA"/>
    <w:rsid w:val="000A5686"/>
    <w:rsid w:val="000B04E9"/>
    <w:rsid w:val="000C14CE"/>
    <w:rsid w:val="000D43C9"/>
    <w:rsid w:val="000E4E59"/>
    <w:rsid w:val="000F4D6E"/>
    <w:rsid w:val="00124300"/>
    <w:rsid w:val="00130688"/>
    <w:rsid w:val="00142149"/>
    <w:rsid w:val="00154980"/>
    <w:rsid w:val="0018154F"/>
    <w:rsid w:val="00184EE0"/>
    <w:rsid w:val="001A27C1"/>
    <w:rsid w:val="001D2F34"/>
    <w:rsid w:val="00220060"/>
    <w:rsid w:val="00226266"/>
    <w:rsid w:val="0023496A"/>
    <w:rsid w:val="00270912"/>
    <w:rsid w:val="00293E25"/>
    <w:rsid w:val="002A0FE9"/>
    <w:rsid w:val="002A1E51"/>
    <w:rsid w:val="002B301F"/>
    <w:rsid w:val="002C4F94"/>
    <w:rsid w:val="002E2BA4"/>
    <w:rsid w:val="002E484E"/>
    <w:rsid w:val="00374EAE"/>
    <w:rsid w:val="00377B8B"/>
    <w:rsid w:val="00377E8F"/>
    <w:rsid w:val="003C6E58"/>
    <w:rsid w:val="003F244C"/>
    <w:rsid w:val="003F436F"/>
    <w:rsid w:val="00446232"/>
    <w:rsid w:val="004748E3"/>
    <w:rsid w:val="004819C8"/>
    <w:rsid w:val="004927C2"/>
    <w:rsid w:val="004977D2"/>
    <w:rsid w:val="004C1267"/>
    <w:rsid w:val="004D1033"/>
    <w:rsid w:val="004E3360"/>
    <w:rsid w:val="004E3D8E"/>
    <w:rsid w:val="004E7170"/>
    <w:rsid w:val="00502A45"/>
    <w:rsid w:val="005132E4"/>
    <w:rsid w:val="005156CC"/>
    <w:rsid w:val="00546B00"/>
    <w:rsid w:val="00560FD3"/>
    <w:rsid w:val="005A7982"/>
    <w:rsid w:val="005C786B"/>
    <w:rsid w:val="0064196E"/>
    <w:rsid w:val="006427B4"/>
    <w:rsid w:val="006A32F1"/>
    <w:rsid w:val="006A58BA"/>
    <w:rsid w:val="006D56E3"/>
    <w:rsid w:val="006F52F1"/>
    <w:rsid w:val="006F58BE"/>
    <w:rsid w:val="0071478F"/>
    <w:rsid w:val="00717CB5"/>
    <w:rsid w:val="00725606"/>
    <w:rsid w:val="007B1791"/>
    <w:rsid w:val="007C42A3"/>
    <w:rsid w:val="008353B0"/>
    <w:rsid w:val="008568A9"/>
    <w:rsid w:val="00872BE2"/>
    <w:rsid w:val="00872ED1"/>
    <w:rsid w:val="00881271"/>
    <w:rsid w:val="0088193A"/>
    <w:rsid w:val="008922DF"/>
    <w:rsid w:val="00893057"/>
    <w:rsid w:val="008948A7"/>
    <w:rsid w:val="008A76AD"/>
    <w:rsid w:val="008F3F9C"/>
    <w:rsid w:val="009150A4"/>
    <w:rsid w:val="009218A6"/>
    <w:rsid w:val="00924383"/>
    <w:rsid w:val="009470BF"/>
    <w:rsid w:val="009540F1"/>
    <w:rsid w:val="009E2176"/>
    <w:rsid w:val="009E3D4F"/>
    <w:rsid w:val="009E78C1"/>
    <w:rsid w:val="00A15DA6"/>
    <w:rsid w:val="00A2431E"/>
    <w:rsid w:val="00A4769E"/>
    <w:rsid w:val="00A61F52"/>
    <w:rsid w:val="00AC6C58"/>
    <w:rsid w:val="00AE5985"/>
    <w:rsid w:val="00B15942"/>
    <w:rsid w:val="00B47C6D"/>
    <w:rsid w:val="00BB5383"/>
    <w:rsid w:val="00BC75D7"/>
    <w:rsid w:val="00BD4709"/>
    <w:rsid w:val="00C67F80"/>
    <w:rsid w:val="00C83B3A"/>
    <w:rsid w:val="00CA601F"/>
    <w:rsid w:val="00CA78AC"/>
    <w:rsid w:val="00CD0FE7"/>
    <w:rsid w:val="00CE3780"/>
    <w:rsid w:val="00D016B8"/>
    <w:rsid w:val="00D255B5"/>
    <w:rsid w:val="00D362B2"/>
    <w:rsid w:val="00DB26E9"/>
    <w:rsid w:val="00DF4DA8"/>
    <w:rsid w:val="00E20EB5"/>
    <w:rsid w:val="00E265AA"/>
    <w:rsid w:val="00E424D2"/>
    <w:rsid w:val="00E7636C"/>
    <w:rsid w:val="00ED5CBC"/>
    <w:rsid w:val="00EE10FE"/>
    <w:rsid w:val="00F34459"/>
    <w:rsid w:val="00F81E3A"/>
    <w:rsid w:val="00FB091A"/>
    <w:rsid w:val="00FF3716"/>
    <w:rsid w:val="00FF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6C822F"/>
  <w15:docId w15:val="{361C9A42-EF31-4159-9C19-50996CBEB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424D2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8922DF"/>
    <w:pPr>
      <w:spacing w:after="0" w:line="240" w:lineRule="auto"/>
    </w:pPr>
    <w:rPr>
      <w:rFonts w:ascii="Calibri" w:hAnsi="Calibri" w:cs="FreeSans"/>
      <w:color w:val="00000A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nInhalt">
    <w:name w:val="Tabellen Inhalt"/>
    <w:basedOn w:val="Standard"/>
    <w:rsid w:val="00EE10FE"/>
    <w:pPr>
      <w:widowControl w:val="0"/>
      <w:suppressLineNumbers/>
      <w:suppressAutoHyphens/>
      <w:spacing w:before="0" w:after="0" w:line="240" w:lineRule="auto"/>
      <w:ind w:left="0" w:right="0"/>
    </w:pPr>
    <w:rPr>
      <w:rFonts w:ascii="Liberation Serif" w:eastAsia="Droid Sans Fallback" w:hAnsi="Liberation Serif" w:cs="Free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Forderungsspiegel</vt:lpstr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Eigenkapitalspiegel</dc:title>
  <dc:subject/>
  <dc:creator>btf</dc:creator>
  <cp:keywords/>
  <dc:description/>
  <cp:lastModifiedBy>btf</cp:lastModifiedBy>
  <cp:revision>89</cp:revision>
  <dcterms:created xsi:type="dcterms:W3CDTF">2017-10-15T07:26:00Z</dcterms:created>
  <dcterms:modified xsi:type="dcterms:W3CDTF">2019-11-22T07:25:00Z</dcterms:modified>
</cp:coreProperties>
</file>